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9DB1" w14:textId="09511D07"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highlight w:val="yellow"/>
          <w:u w:color="000000"/>
        </w:rPr>
        <w:t xml:space="preserve">August </w:t>
      </w:r>
      <w:r w:rsidR="00F41196" w:rsidRPr="00B2718C">
        <w:rPr>
          <w:rFonts w:ascii="Times New Roman" w:hAnsi="Times New Roman" w:cs="Times New Roman"/>
          <w:sz w:val="24"/>
          <w:szCs w:val="24"/>
          <w:highlight w:val="yellow"/>
          <w:u w:color="000000"/>
        </w:rPr>
        <w:t>___</w:t>
      </w:r>
      <w:r w:rsidRPr="00B2718C">
        <w:rPr>
          <w:rFonts w:ascii="Times New Roman" w:hAnsi="Times New Roman" w:cs="Times New Roman"/>
          <w:sz w:val="24"/>
          <w:szCs w:val="24"/>
          <w:highlight w:val="yellow"/>
          <w:u w:color="000000"/>
        </w:rPr>
        <w:t>,</w:t>
      </w:r>
      <w:r w:rsidRPr="00B2718C">
        <w:rPr>
          <w:rFonts w:ascii="Times New Roman" w:hAnsi="Times New Roman" w:cs="Times New Roman"/>
          <w:sz w:val="24"/>
          <w:szCs w:val="24"/>
          <w:u w:color="000000"/>
        </w:rPr>
        <w:t xml:space="preserve"> 2017</w:t>
      </w:r>
    </w:p>
    <w:p w14:paraId="4F6A60F9" w14:textId="77777777" w:rsidR="00283413" w:rsidRPr="00B2718C" w:rsidRDefault="00E453F8">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Seema Verma, Administrator</w:t>
      </w:r>
    </w:p>
    <w:p w14:paraId="3F1709D9" w14:textId="77777777" w:rsidR="00283413" w:rsidRPr="00B2718C" w:rsidRDefault="00E453F8">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Centers for Medicare and Medicaid Services</w:t>
      </w:r>
    </w:p>
    <w:p w14:paraId="71E1980E" w14:textId="77777777" w:rsidR="00283413" w:rsidRPr="00B2718C" w:rsidRDefault="00E453F8">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Department of Health and Human Services</w:t>
      </w:r>
      <w:r w:rsidRPr="00B2718C">
        <w:rPr>
          <w:rFonts w:ascii="Times New Roman" w:hAnsi="Times New Roman" w:cs="Times New Roman"/>
          <w:sz w:val="24"/>
          <w:szCs w:val="24"/>
          <w:u w:color="000000"/>
        </w:rPr>
        <w:tab/>
      </w:r>
    </w:p>
    <w:p w14:paraId="76934333" w14:textId="77777777" w:rsidR="00283413" w:rsidRPr="00B2718C" w:rsidRDefault="00E453F8">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Attention:  CMS-1678-P</w:t>
      </w:r>
    </w:p>
    <w:p w14:paraId="0A85EDF2" w14:textId="77777777" w:rsidR="00283413" w:rsidRPr="00B2718C" w:rsidRDefault="00E453F8">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Room 445-G</w:t>
      </w:r>
    </w:p>
    <w:p w14:paraId="4F061E7A" w14:textId="77777777" w:rsidR="00283413" w:rsidRPr="00B2718C" w:rsidRDefault="00E453F8">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Hubert H. Humphrey Building</w:t>
      </w:r>
    </w:p>
    <w:p w14:paraId="38CC05B0" w14:textId="77777777" w:rsidR="00283413" w:rsidRPr="00B2718C" w:rsidRDefault="00E453F8">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200 Independence Avenue, SW</w:t>
      </w:r>
    </w:p>
    <w:p w14:paraId="3C9093AD" w14:textId="59933EC4" w:rsidR="00283413" w:rsidRDefault="00E453F8" w:rsidP="00B2718C">
      <w:pPr>
        <w:pStyle w:val="Body"/>
        <w:spacing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Washington, DC 20201</w:t>
      </w:r>
    </w:p>
    <w:p w14:paraId="00DBD633" w14:textId="0CB512B6" w:rsidR="00B2718C" w:rsidRDefault="00B2718C" w:rsidP="00B2718C">
      <w:pPr>
        <w:pStyle w:val="Body"/>
        <w:spacing w:line="276" w:lineRule="auto"/>
        <w:rPr>
          <w:rFonts w:ascii="Times New Roman" w:eastAsia="Helvetica Neue" w:hAnsi="Times New Roman" w:cs="Times New Roman"/>
          <w:sz w:val="24"/>
          <w:szCs w:val="24"/>
          <w:u w:color="000000"/>
        </w:rPr>
      </w:pPr>
    </w:p>
    <w:p w14:paraId="199B7BBB" w14:textId="77777777" w:rsidR="00B2718C" w:rsidRPr="00B2718C" w:rsidRDefault="00B2718C" w:rsidP="00B2718C">
      <w:pPr>
        <w:pStyle w:val="Body"/>
        <w:spacing w:line="276" w:lineRule="auto"/>
        <w:rPr>
          <w:rFonts w:ascii="Times New Roman" w:eastAsia="Helvetica Neue" w:hAnsi="Times New Roman" w:cs="Times New Roman"/>
          <w:sz w:val="24"/>
          <w:szCs w:val="24"/>
          <w:u w:color="000000"/>
        </w:rPr>
      </w:pPr>
    </w:p>
    <w:p w14:paraId="5FD5B002" w14:textId="77777777" w:rsidR="00F43C82" w:rsidRPr="00B2718C" w:rsidRDefault="00E453F8" w:rsidP="00FE68BA">
      <w:pPr>
        <w:rPr>
          <w:i/>
          <w:iCs/>
          <w:u w:color="000000"/>
        </w:rPr>
      </w:pPr>
      <w:r w:rsidRPr="00B2718C">
        <w:rPr>
          <w:i/>
          <w:iCs/>
          <w:u w:color="000000"/>
        </w:rPr>
        <w:t>Via online submission at</w:t>
      </w:r>
    </w:p>
    <w:p w14:paraId="117E15B6" w14:textId="23CE25B4" w:rsidR="00283413" w:rsidRPr="00B2718C" w:rsidRDefault="00E453F8" w:rsidP="00FE68BA">
      <w:pPr>
        <w:rPr>
          <w:rStyle w:val="Hyperlink0"/>
          <w:rFonts w:ascii="Times New Roman" w:eastAsia="Times New Roman" w:hAnsi="Times New Roman" w:cs="Times New Roman"/>
          <w:i w:val="0"/>
          <w:iCs w:val="0"/>
          <w:color w:val="auto"/>
          <w:u w:val="none"/>
          <w:bdr w:val="none" w:sz="0" w:space="0" w:color="auto"/>
        </w:rPr>
      </w:pPr>
      <w:r w:rsidRPr="00B2718C">
        <w:rPr>
          <w:i/>
          <w:iCs/>
          <w:u w:color="000000"/>
        </w:rPr>
        <w:t xml:space="preserve"> </w:t>
      </w:r>
      <w:hyperlink r:id="rId10" w:history="1">
        <w:r w:rsidR="00FE68BA" w:rsidRPr="00B2718C">
          <w:rPr>
            <w:rStyle w:val="Hyperlink"/>
            <w:rFonts w:eastAsia="Times New Roman"/>
          </w:rPr>
          <w:t>https://www.regulations.gov/document?D=CMS-2017-0091-0002</w:t>
        </w:r>
      </w:hyperlink>
    </w:p>
    <w:p w14:paraId="2D13B3FF" w14:textId="77777777" w:rsidR="00283413" w:rsidRPr="00B2718C" w:rsidRDefault="00283413">
      <w:pPr>
        <w:pStyle w:val="Body"/>
        <w:spacing w:after="200" w:line="276" w:lineRule="auto"/>
        <w:rPr>
          <w:rFonts w:ascii="Times New Roman" w:eastAsia="Helvetica Neue" w:hAnsi="Times New Roman" w:cs="Times New Roman"/>
          <w:sz w:val="24"/>
          <w:szCs w:val="24"/>
          <w:u w:color="000000"/>
        </w:rPr>
      </w:pPr>
    </w:p>
    <w:p w14:paraId="67ECFF0C" w14:textId="77777777" w:rsidR="00283413" w:rsidRPr="00B2718C" w:rsidRDefault="00E453F8">
      <w:pPr>
        <w:pStyle w:val="Body"/>
        <w:spacing w:after="200" w:line="276" w:lineRule="auto"/>
        <w:rPr>
          <w:rFonts w:ascii="Times New Roman" w:eastAsia="Helvetica Neue" w:hAnsi="Times New Roman" w:cs="Times New Roman"/>
          <w:b/>
          <w:bCs/>
          <w:sz w:val="24"/>
          <w:szCs w:val="24"/>
          <w:u w:color="000000"/>
        </w:rPr>
      </w:pPr>
      <w:r w:rsidRPr="00B2718C">
        <w:rPr>
          <w:rFonts w:ascii="Times New Roman" w:hAnsi="Times New Roman" w:cs="Times New Roman"/>
          <w:b/>
          <w:bCs/>
          <w:sz w:val="24"/>
          <w:szCs w:val="24"/>
          <w:u w:color="000000"/>
        </w:rPr>
        <w:t>Re: CMS-1678-P – Medicare Program: Hospital Outpatient Prospective Payment and Ambulatory Surgical Center Payment Systems and Quality Reporting Programs</w:t>
      </w:r>
    </w:p>
    <w:p w14:paraId="30392689" w14:textId="77777777" w:rsidR="00B2718C" w:rsidRDefault="00B2718C">
      <w:pPr>
        <w:pStyle w:val="Body"/>
        <w:spacing w:after="200" w:line="276" w:lineRule="auto"/>
        <w:rPr>
          <w:rFonts w:ascii="Times New Roman" w:eastAsia="Helvetica Neue" w:hAnsi="Times New Roman" w:cs="Times New Roman"/>
          <w:sz w:val="24"/>
          <w:szCs w:val="24"/>
          <w:u w:color="000000"/>
        </w:rPr>
      </w:pPr>
    </w:p>
    <w:p w14:paraId="7685DEE1" w14:textId="2E55E4D9"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Dear Administrator Verma:</w:t>
      </w:r>
    </w:p>
    <w:p w14:paraId="08C44D29" w14:textId="2A2C3071"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 xml:space="preserve">My name is </w:t>
      </w:r>
      <w:r w:rsidRPr="00B2718C">
        <w:rPr>
          <w:rFonts w:ascii="Times New Roman" w:hAnsi="Times New Roman" w:cs="Times New Roman"/>
          <w:sz w:val="24"/>
          <w:szCs w:val="24"/>
          <w:highlight w:val="yellow"/>
          <w:u w:color="000000"/>
        </w:rPr>
        <w:t xml:space="preserve">Dr. </w:t>
      </w:r>
      <w:r w:rsidR="00FE68BA" w:rsidRPr="00B2718C">
        <w:rPr>
          <w:rFonts w:ascii="Times New Roman" w:hAnsi="Times New Roman" w:cs="Times New Roman"/>
          <w:sz w:val="24"/>
          <w:szCs w:val="24"/>
          <w:highlight w:val="yellow"/>
          <w:u w:color="000000"/>
        </w:rPr>
        <w:t>________________</w:t>
      </w:r>
      <w:r w:rsidRPr="00B2718C">
        <w:rPr>
          <w:rFonts w:ascii="Times New Roman" w:hAnsi="Times New Roman" w:cs="Times New Roman"/>
          <w:sz w:val="24"/>
          <w:szCs w:val="24"/>
          <w:highlight w:val="yellow"/>
          <w:u w:color="000000"/>
        </w:rPr>
        <w:t>.</w:t>
      </w:r>
      <w:r w:rsidR="00D8231E" w:rsidRPr="00B2718C">
        <w:rPr>
          <w:rFonts w:ascii="Times New Roman" w:hAnsi="Times New Roman" w:cs="Times New Roman"/>
          <w:sz w:val="24"/>
          <w:szCs w:val="24"/>
          <w:u w:color="000000"/>
        </w:rPr>
        <w:t xml:space="preserve">  I am an anesthesiologist practicing</w:t>
      </w:r>
      <w:r w:rsidRPr="00B2718C">
        <w:rPr>
          <w:rFonts w:ascii="Times New Roman" w:hAnsi="Times New Roman" w:cs="Times New Roman"/>
          <w:sz w:val="24"/>
          <w:szCs w:val="24"/>
          <w:u w:color="000000"/>
        </w:rPr>
        <w:t xml:space="preserve"> in the </w:t>
      </w:r>
      <w:r w:rsidRPr="00B2718C">
        <w:rPr>
          <w:rFonts w:ascii="Times New Roman" w:hAnsi="Times New Roman" w:cs="Times New Roman"/>
          <w:sz w:val="24"/>
          <w:szCs w:val="24"/>
          <w:highlight w:val="yellow"/>
          <w:u w:color="000000"/>
        </w:rPr>
        <w:t xml:space="preserve">State of </w:t>
      </w:r>
      <w:r w:rsidR="00FE68BA" w:rsidRPr="00B2718C">
        <w:rPr>
          <w:rFonts w:ascii="Times New Roman" w:hAnsi="Times New Roman" w:cs="Times New Roman"/>
          <w:sz w:val="24"/>
          <w:szCs w:val="24"/>
          <w:highlight w:val="yellow"/>
          <w:u w:color="000000"/>
        </w:rPr>
        <w:t>______________</w:t>
      </w:r>
      <w:r w:rsidRPr="00B2718C">
        <w:rPr>
          <w:rFonts w:ascii="Times New Roman" w:hAnsi="Times New Roman" w:cs="Times New Roman"/>
          <w:sz w:val="24"/>
          <w:szCs w:val="24"/>
          <w:highlight w:val="yellow"/>
          <w:u w:color="000000"/>
        </w:rPr>
        <w:t>.</w:t>
      </w:r>
      <w:r w:rsidRPr="00B2718C">
        <w:rPr>
          <w:rFonts w:ascii="Times New Roman" w:hAnsi="Times New Roman" w:cs="Times New Roman"/>
          <w:sz w:val="24"/>
          <w:szCs w:val="24"/>
          <w:u w:color="000000"/>
        </w:rPr>
        <w:t xml:space="preserve">  I am writing to encourage you to remove total knee arthroplasty (TKA) and total hip arthroplasty (THA) from the inpatient-only list, and also move these codes to the ASC-payable list.  </w:t>
      </w:r>
    </w:p>
    <w:p w14:paraId="7F927474" w14:textId="6FB6636A"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 xml:space="preserve">Traditionally, these cases have been done as an inpatient with a hospital stay of up to several days and at a relatively high cost. Now, due to less invasive techniques, improved peri-operative anesthesia, alternative postoperative pain management and expedited rehabilitation protocols, these types of procedures are being done safely and effectively in outpatient facilities such as ASCs. </w:t>
      </w:r>
    </w:p>
    <w:p w14:paraId="4FA694D1" w14:textId="3ECD320C"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I personally have b</w:t>
      </w:r>
      <w:r w:rsidR="00D8231E" w:rsidRPr="00B2718C">
        <w:rPr>
          <w:rFonts w:ascii="Times New Roman" w:hAnsi="Times New Roman" w:cs="Times New Roman"/>
          <w:sz w:val="24"/>
          <w:szCs w:val="24"/>
          <w:u w:color="000000"/>
        </w:rPr>
        <w:t xml:space="preserve">een providing anesthesia services for </w:t>
      </w:r>
      <w:r w:rsidRPr="00B2718C">
        <w:rPr>
          <w:rFonts w:ascii="Times New Roman" w:hAnsi="Times New Roman" w:cs="Times New Roman"/>
          <w:sz w:val="24"/>
          <w:szCs w:val="24"/>
          <w:u w:color="000000"/>
        </w:rPr>
        <w:t xml:space="preserve">outpatient total hip and total knee replacements as an outpatient for approximately </w:t>
      </w:r>
      <w:r w:rsidR="00FE68BA" w:rsidRPr="00B2718C">
        <w:rPr>
          <w:rFonts w:ascii="Times New Roman" w:hAnsi="Times New Roman" w:cs="Times New Roman"/>
          <w:sz w:val="24"/>
          <w:szCs w:val="24"/>
          <w:highlight w:val="yellow"/>
          <w:u w:color="000000"/>
        </w:rPr>
        <w:t>___</w:t>
      </w:r>
      <w:r w:rsidRPr="00B2718C">
        <w:rPr>
          <w:rFonts w:ascii="Times New Roman" w:hAnsi="Times New Roman" w:cs="Times New Roman"/>
          <w:sz w:val="24"/>
          <w:szCs w:val="24"/>
          <w:highlight w:val="yellow"/>
          <w:u w:color="000000"/>
        </w:rPr>
        <w:t xml:space="preserve"> years</w:t>
      </w:r>
      <w:r w:rsidR="00D8231E" w:rsidRPr="00B2718C">
        <w:rPr>
          <w:rFonts w:ascii="Times New Roman" w:hAnsi="Times New Roman" w:cs="Times New Roman"/>
          <w:sz w:val="24"/>
          <w:szCs w:val="24"/>
          <w:u w:color="000000"/>
        </w:rPr>
        <w:t xml:space="preserve"> with excellent outcomes.  I am</w:t>
      </w:r>
      <w:r w:rsidRPr="00B2718C">
        <w:rPr>
          <w:rFonts w:ascii="Times New Roman" w:hAnsi="Times New Roman" w:cs="Times New Roman"/>
          <w:sz w:val="24"/>
          <w:szCs w:val="24"/>
          <w:u w:color="000000"/>
        </w:rPr>
        <w:t xml:space="preserve"> advocating for Medicare beneficiaries to be able to receive outpatient joint replacement surgery since in our</w:t>
      </w:r>
      <w:r w:rsidR="00D8231E" w:rsidRPr="00B2718C">
        <w:rPr>
          <w:rFonts w:ascii="Times New Roman" w:hAnsi="Times New Roman" w:cs="Times New Roman"/>
          <w:sz w:val="24"/>
          <w:szCs w:val="24"/>
          <w:u w:color="000000"/>
        </w:rPr>
        <w:t xml:space="preserve"> community this program consistently</w:t>
      </w:r>
      <w:r w:rsidRPr="00B2718C">
        <w:rPr>
          <w:rFonts w:ascii="Times New Roman" w:hAnsi="Times New Roman" w:cs="Times New Roman"/>
          <w:sz w:val="24"/>
          <w:szCs w:val="24"/>
          <w:u w:color="000000"/>
        </w:rPr>
        <w:t xml:space="preserve"> produces </w:t>
      </w:r>
      <w:r w:rsidR="00D8231E" w:rsidRPr="00B2718C">
        <w:rPr>
          <w:rFonts w:ascii="Times New Roman" w:hAnsi="Times New Roman" w:cs="Times New Roman"/>
          <w:sz w:val="24"/>
          <w:szCs w:val="24"/>
          <w:u w:color="000000"/>
        </w:rPr>
        <w:t xml:space="preserve">as good as or </w:t>
      </w:r>
      <w:r w:rsidRPr="00B2718C">
        <w:rPr>
          <w:rFonts w:ascii="Times New Roman" w:hAnsi="Times New Roman" w:cs="Times New Roman"/>
          <w:sz w:val="24"/>
          <w:szCs w:val="24"/>
          <w:u w:color="000000"/>
        </w:rPr>
        <w:t>better outcomes and results in a faster recovery than a traditional inpatient joint replacement.</w:t>
      </w:r>
      <w:r w:rsidR="00D8231E" w:rsidRPr="00B2718C">
        <w:rPr>
          <w:rFonts w:ascii="Times New Roman" w:hAnsi="Times New Roman" w:cs="Times New Roman"/>
          <w:sz w:val="24"/>
          <w:szCs w:val="24"/>
          <w:u w:color="000000"/>
        </w:rPr>
        <w:t xml:space="preserve"> This results in a much high value to my patients as measured by an optimum combination of outcomes, patient satisfaction and cost.</w:t>
      </w:r>
    </w:p>
    <w:p w14:paraId="78A62F62" w14:textId="0BC7575A"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 xml:space="preserve">Medicare patients who are active, have a relatively low anesthesia risk, are without significant co-morbidities, and who have family members at home </w:t>
      </w:r>
      <w:r w:rsidR="00D8231E" w:rsidRPr="00B2718C">
        <w:rPr>
          <w:rFonts w:ascii="Times New Roman" w:hAnsi="Times New Roman" w:cs="Times New Roman"/>
          <w:sz w:val="24"/>
          <w:szCs w:val="24"/>
          <w:u w:color="000000"/>
        </w:rPr>
        <w:t>who can assist them are</w:t>
      </w:r>
      <w:r w:rsidRPr="00B2718C">
        <w:rPr>
          <w:rFonts w:ascii="Times New Roman" w:hAnsi="Times New Roman" w:cs="Times New Roman"/>
          <w:sz w:val="24"/>
          <w:szCs w:val="24"/>
          <w:u w:color="000000"/>
        </w:rPr>
        <w:t xml:space="preserve"> be excellent </w:t>
      </w:r>
      <w:r w:rsidRPr="00B2718C">
        <w:rPr>
          <w:rFonts w:ascii="Times New Roman" w:hAnsi="Times New Roman" w:cs="Times New Roman"/>
          <w:sz w:val="24"/>
          <w:szCs w:val="24"/>
          <w:u w:color="000000"/>
        </w:rPr>
        <w:lastRenderedPageBreak/>
        <w:t xml:space="preserve">candidates for an outpatient TKA or THA procedure. </w:t>
      </w:r>
      <w:r w:rsidR="00B2718C">
        <w:rPr>
          <w:rFonts w:ascii="Times New Roman" w:hAnsi="Times New Roman" w:cs="Times New Roman"/>
          <w:sz w:val="24"/>
          <w:szCs w:val="24"/>
          <w:u w:color="000000"/>
        </w:rPr>
        <w:t>I have administered anesthesia to</w:t>
      </w:r>
      <w:r w:rsidR="00D8231E" w:rsidRPr="00B2718C">
        <w:rPr>
          <w:rFonts w:ascii="Times New Roman" w:hAnsi="Times New Roman" w:cs="Times New Roman"/>
          <w:sz w:val="24"/>
          <w:szCs w:val="24"/>
          <w:u w:color="000000"/>
        </w:rPr>
        <w:t xml:space="preserve"> Medicare Advantage patients with excellent results. </w:t>
      </w:r>
      <w:r w:rsidRPr="00B2718C">
        <w:rPr>
          <w:rFonts w:ascii="Times New Roman" w:hAnsi="Times New Roman" w:cs="Times New Roman"/>
          <w:sz w:val="24"/>
          <w:szCs w:val="24"/>
          <w:u w:color="000000"/>
        </w:rPr>
        <w:t>The decision of where and when a TKA or THA should take place should be between the patient and their surgeon. </w:t>
      </w:r>
      <w:r w:rsidR="00D8231E" w:rsidRPr="00B2718C">
        <w:rPr>
          <w:rFonts w:ascii="Times New Roman" w:hAnsi="Times New Roman" w:cs="Times New Roman"/>
          <w:sz w:val="24"/>
          <w:szCs w:val="24"/>
          <w:u w:color="000000"/>
        </w:rPr>
        <w:t>Patient choice is an essential element of our health care system and denying Medicare beneficiaries the option to pursue an outpatient TKA or THA is unwise.</w:t>
      </w:r>
    </w:p>
    <w:p w14:paraId="455FF518" w14:textId="42854CDB"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 xml:space="preserve">Surgeons </w:t>
      </w:r>
      <w:r w:rsidR="00B2718C">
        <w:rPr>
          <w:rFonts w:ascii="Times New Roman" w:hAnsi="Times New Roman" w:cs="Times New Roman"/>
          <w:sz w:val="24"/>
          <w:szCs w:val="24"/>
          <w:u w:color="000000"/>
        </w:rPr>
        <w:t>and anesthesi</w:t>
      </w:r>
      <w:r w:rsidR="00D8231E" w:rsidRPr="00B2718C">
        <w:rPr>
          <w:rFonts w:ascii="Times New Roman" w:hAnsi="Times New Roman" w:cs="Times New Roman"/>
          <w:sz w:val="24"/>
          <w:szCs w:val="24"/>
          <w:u w:color="000000"/>
        </w:rPr>
        <w:t>o</w:t>
      </w:r>
      <w:r w:rsidR="00B2718C">
        <w:rPr>
          <w:rFonts w:ascii="Times New Roman" w:hAnsi="Times New Roman" w:cs="Times New Roman"/>
          <w:sz w:val="24"/>
          <w:szCs w:val="24"/>
          <w:u w:color="000000"/>
        </w:rPr>
        <w:t>lo</w:t>
      </w:r>
      <w:r w:rsidR="00D8231E" w:rsidRPr="00B2718C">
        <w:rPr>
          <w:rFonts w:ascii="Times New Roman" w:hAnsi="Times New Roman" w:cs="Times New Roman"/>
          <w:sz w:val="24"/>
          <w:szCs w:val="24"/>
          <w:u w:color="000000"/>
        </w:rPr>
        <w:t xml:space="preserve">gists </w:t>
      </w:r>
      <w:r w:rsidRPr="00B2718C">
        <w:rPr>
          <w:rFonts w:ascii="Times New Roman" w:hAnsi="Times New Roman" w:cs="Times New Roman"/>
          <w:sz w:val="24"/>
          <w:szCs w:val="24"/>
          <w:u w:color="000000"/>
        </w:rPr>
        <w:t>who perform outpatient TKA and THA procedures know the importance of careful patient selection and strict protocols to optimize outcomes. These protocols manage all aspects of the patient’s care, including the at-home preoperative and postoperative environment, anesthesia, pain management, and rehabilitation to maximize rapid recovery and ambulation. In my opinion, this qualifies joint replacement as an outpatient surgical procedure, and my experience confirms this fact.</w:t>
      </w:r>
    </w:p>
    <w:p w14:paraId="0D4A7536" w14:textId="77777777"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 xml:space="preserve">Medicare, its beneficiaries and taxpayers are spending more money than necessary because these procedures are not reimbursed in lower-cost, highly-regulated settings such as ASCs. I strongly urge CMS to remove TKA and THA from the inpatient-only list and allow these codes on the ASC-payable list.  </w:t>
      </w:r>
    </w:p>
    <w:p w14:paraId="7C7F43C6" w14:textId="77777777" w:rsidR="00283413" w:rsidRPr="00B2718C" w:rsidRDefault="00283413">
      <w:pPr>
        <w:pStyle w:val="Body"/>
        <w:spacing w:after="200" w:line="276" w:lineRule="auto"/>
        <w:rPr>
          <w:rFonts w:ascii="Times New Roman" w:eastAsia="Helvetica Neue" w:hAnsi="Times New Roman" w:cs="Times New Roman"/>
          <w:sz w:val="24"/>
          <w:szCs w:val="24"/>
          <w:u w:color="000000"/>
        </w:rPr>
      </w:pPr>
    </w:p>
    <w:p w14:paraId="3957F4BF" w14:textId="77777777" w:rsidR="00283413" w:rsidRPr="00B2718C" w:rsidRDefault="00283413">
      <w:pPr>
        <w:pStyle w:val="Body"/>
        <w:spacing w:after="200" w:line="276" w:lineRule="auto"/>
        <w:rPr>
          <w:rFonts w:ascii="Times New Roman" w:eastAsia="Helvetica Neue" w:hAnsi="Times New Roman" w:cs="Times New Roman"/>
          <w:sz w:val="24"/>
          <w:szCs w:val="24"/>
          <w:u w:color="000000"/>
        </w:rPr>
      </w:pPr>
    </w:p>
    <w:p w14:paraId="7E5519ED" w14:textId="77777777" w:rsidR="00283413" w:rsidRPr="00B2718C" w:rsidRDefault="00E453F8">
      <w:pPr>
        <w:pStyle w:val="Body"/>
        <w:spacing w:after="200" w:line="276" w:lineRule="auto"/>
        <w:rPr>
          <w:rFonts w:ascii="Times New Roman" w:eastAsia="Helvetica Neue" w:hAnsi="Times New Roman" w:cs="Times New Roman"/>
          <w:sz w:val="24"/>
          <w:szCs w:val="24"/>
          <w:u w:color="000000"/>
        </w:rPr>
      </w:pPr>
      <w:r w:rsidRPr="00B2718C">
        <w:rPr>
          <w:rFonts w:ascii="Times New Roman" w:hAnsi="Times New Roman" w:cs="Times New Roman"/>
          <w:sz w:val="24"/>
          <w:szCs w:val="24"/>
          <w:u w:color="000000"/>
        </w:rPr>
        <w:t>Sincerely,</w:t>
      </w:r>
      <w:bookmarkStart w:id="0" w:name="_GoBack"/>
      <w:bookmarkEnd w:id="0"/>
    </w:p>
    <w:p w14:paraId="19D6C87A" w14:textId="77777777" w:rsidR="00F43C82" w:rsidRPr="00B2718C" w:rsidRDefault="00F43C82" w:rsidP="00F43C82">
      <w:r w:rsidRPr="00B2718C">
        <w:rPr>
          <w:highlight w:val="yellow"/>
        </w:rPr>
        <w:t>[Name, Qualifications, Address]</w:t>
      </w:r>
    </w:p>
    <w:p w14:paraId="21D0916F" w14:textId="493538F4" w:rsidR="00283413" w:rsidRDefault="00283413" w:rsidP="00F43C82">
      <w:pPr>
        <w:pStyle w:val="Body"/>
        <w:spacing w:after="200" w:line="276" w:lineRule="auto"/>
      </w:pPr>
    </w:p>
    <w:sectPr w:rsidR="00283413">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6803" w14:textId="77777777" w:rsidR="00E172C9" w:rsidRDefault="00E172C9">
      <w:r>
        <w:separator/>
      </w:r>
    </w:p>
  </w:endnote>
  <w:endnote w:type="continuationSeparator" w:id="0">
    <w:p w14:paraId="2274AA7C" w14:textId="77777777" w:rsidR="00E172C9" w:rsidRDefault="00E1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A606" w14:textId="77777777" w:rsidR="00283413" w:rsidRDefault="00283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F1CA" w14:textId="77777777" w:rsidR="00E172C9" w:rsidRDefault="00E172C9">
      <w:r>
        <w:separator/>
      </w:r>
    </w:p>
  </w:footnote>
  <w:footnote w:type="continuationSeparator" w:id="0">
    <w:p w14:paraId="1F2353BA" w14:textId="77777777" w:rsidR="00E172C9" w:rsidRDefault="00E1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F0D4" w14:textId="77777777" w:rsidR="00283413" w:rsidRDefault="002834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C51"/>
    <w:multiLevelType w:val="hybridMultilevel"/>
    <w:tmpl w:val="B066B194"/>
    <w:numStyleLink w:val="Bullet"/>
  </w:abstractNum>
  <w:abstractNum w:abstractNumId="1" w15:restartNumberingAfterBreak="0">
    <w:nsid w:val="30D92DD1"/>
    <w:multiLevelType w:val="hybridMultilevel"/>
    <w:tmpl w:val="B066B194"/>
    <w:styleLink w:val="Bullet"/>
    <w:lvl w:ilvl="0" w:tplc="F21A9418">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07CD406">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B61134">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66051E">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4C3DE0">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EC058A">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6AFD2E">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04CB590">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9E47A6">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13"/>
    <w:rsid w:val="00283413"/>
    <w:rsid w:val="004A6BD3"/>
    <w:rsid w:val="008924D3"/>
    <w:rsid w:val="00B2718C"/>
    <w:rsid w:val="00D8231E"/>
    <w:rsid w:val="00E172C9"/>
    <w:rsid w:val="00E453F8"/>
    <w:rsid w:val="00F41196"/>
    <w:rsid w:val="00F43C82"/>
    <w:rsid w:val="00F700FD"/>
    <w:rsid w:val="00F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70DF"/>
  <w15:docId w15:val="{57B9915C-9136-4925-8176-8438CAAE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i/>
      <w:iCs/>
      <w:color w:val="0000FF"/>
      <w:sz w:val="24"/>
      <w:szCs w:val="24"/>
      <w:u w:val="single" w:color="0000FF"/>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5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gulations.gov/document?D=CMS-2017-0091-00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03B5F2848FE47A188BDCE17A3B63F" ma:contentTypeVersion="4" ma:contentTypeDescription="Create a new document." ma:contentTypeScope="" ma:versionID="8ed5242e242cdec8b96af5bedb70e9df">
  <xsd:schema xmlns:xsd="http://www.w3.org/2001/XMLSchema" xmlns:xs="http://www.w3.org/2001/XMLSchema" xmlns:p="http://schemas.microsoft.com/office/2006/metadata/properties" xmlns:ns2="28e19744-7c6f-4a51-b805-df2ce65c1f18" xmlns:ns3="437f6eba-b718-4ca4-8005-d14014e286a6" targetNamespace="http://schemas.microsoft.com/office/2006/metadata/properties" ma:root="true" ma:fieldsID="7f6792479205d3366370d0de6e7bc65a" ns2:_="" ns3:_="">
    <xsd:import namespace="28e19744-7c6f-4a51-b805-df2ce65c1f18"/>
    <xsd:import namespace="437f6eba-b718-4ca4-8005-d14014e286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19744-7c6f-4a51-b805-df2ce65c1f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f6eba-b718-4ca4-8005-d14014e286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D0032-C369-454B-AC5A-D156C2C9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19744-7c6f-4a51-b805-df2ce65c1f18"/>
    <ds:schemaRef ds:uri="437f6eba-b718-4ca4-8005-d14014e28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E9380-D5A8-4DCF-97F0-78F5EC0C278F}">
  <ds:schemaRefs>
    <ds:schemaRef ds:uri="http://schemas.microsoft.com/sharepoint/v3/contenttype/forms"/>
  </ds:schemaRefs>
</ds:datastoreItem>
</file>

<file path=customXml/itemProps3.xml><?xml version="1.0" encoding="utf-8"?>
<ds:datastoreItem xmlns:ds="http://schemas.openxmlformats.org/officeDocument/2006/customXml" ds:itemID="{FA732C90-DFD5-41EA-9A5F-96074CD4D9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37f6eba-b718-4ca4-8005-d14014e286a6"/>
    <ds:schemaRef ds:uri="28e19744-7c6f-4a51-b805-df2ce65c1f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knewbury</dc:creator>
  <cp:lastModifiedBy>Kara Newbury</cp:lastModifiedBy>
  <cp:revision>2</cp:revision>
  <dcterms:created xsi:type="dcterms:W3CDTF">2017-08-17T16:36:00Z</dcterms:created>
  <dcterms:modified xsi:type="dcterms:W3CDTF">2017-08-17T16:36:00Z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0x01010030F03B5F2848FE47A188BDCE17A3B63F</vt:lpwstr>
  </property>
</Properties>
</file>